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201</w:t>
      </w:r>
      <w:r w:rsidR="0097062B">
        <w:t>9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97062B">
        <w:t xml:space="preserve">3470,0 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97062B">
        <w:t>93425,65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полугодие 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 w:rsidR="00BF3F45">
        <w:t>1289,17</w:t>
      </w:r>
      <w:r w:rsidRPr="00AC06FE">
        <w:t xml:space="preserve"> (</w:t>
      </w:r>
      <w:r w:rsidR="00BF3F45">
        <w:t>1312,89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 w:rsidR="00BF3F45">
        <w:t>3264,4</w:t>
      </w:r>
      <w:r w:rsidRPr="00AC06FE">
        <w:t xml:space="preserve"> (</w:t>
      </w:r>
      <w:r w:rsidR="00BF3F45">
        <w:t>3299,96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– </w:t>
      </w:r>
      <w:r w:rsidR="00BF3F45">
        <w:t>4779,25</w:t>
      </w:r>
      <w:r w:rsidRPr="00AC06FE">
        <w:t xml:space="preserve"> (</w:t>
      </w:r>
      <w:r w:rsidR="00BF3F45">
        <w:t>4869,11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- 0,333</w:t>
      </w:r>
      <w:r w:rsidRPr="00AC06FE">
        <w:t xml:space="preserve"> (0,3</w:t>
      </w:r>
      <w:r>
        <w:t>33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BF3F45">
        <w:t>121</w:t>
      </w:r>
      <w:r w:rsidRPr="00AC06FE">
        <w:t>(</w:t>
      </w:r>
      <w:proofErr w:type="gramStart"/>
      <w:r w:rsidRPr="00AC06FE">
        <w:t>1,</w:t>
      </w:r>
      <w:r w:rsidR="00BF3F45">
        <w:t>161</w:t>
      </w:r>
      <w:r w:rsidRPr="00AC06FE">
        <w:t>)руб.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>
        <w:t>363 (1,</w:t>
      </w:r>
      <w:r w:rsidR="00BF3F45">
        <w:t>417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 xml:space="preserve">20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>
        <w:t>разрезе 1 и 2 полугодие 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BF3F45">
        <w:t>1273,32</w:t>
      </w:r>
      <w:r w:rsidRPr="00AC06FE">
        <w:t xml:space="preserve"> (</w:t>
      </w:r>
      <w:r w:rsidR="00BF3F45">
        <w:t>1318,28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BF3F45">
        <w:t>3229,57</w:t>
      </w:r>
      <w:r w:rsidRPr="00AC06FE">
        <w:t xml:space="preserve"> (</w:t>
      </w:r>
      <w:r w:rsidR="00BF3F45">
        <w:t>3338,66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BF3F45">
        <w:t>4868,36</w:t>
      </w:r>
      <w:r w:rsidRPr="00AC06FE">
        <w:t xml:space="preserve"> (</w:t>
      </w:r>
      <w:r w:rsidR="00BF3F45">
        <w:t>5008,76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- 0,333</w:t>
      </w:r>
      <w:r w:rsidRPr="00AC06FE">
        <w:t xml:space="preserve"> (0,3</w:t>
      </w:r>
      <w:r>
        <w:t>33</w:t>
      </w:r>
      <w:r w:rsidRPr="00AC06FE">
        <w:t>)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BF3F45">
        <w:t>161</w:t>
      </w:r>
      <w:r w:rsidRPr="00AC06FE">
        <w:t>(</w:t>
      </w:r>
      <w:proofErr w:type="gramStart"/>
      <w:r w:rsidRPr="00AC06FE">
        <w:t>1,</w:t>
      </w:r>
      <w:r w:rsidR="00BF3F45">
        <w:t>214)</w:t>
      </w:r>
      <w:r w:rsidRPr="00AC06FE">
        <w:t>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 w:rsidR="00BF3F45">
        <w:t>417</w:t>
      </w:r>
      <w:r>
        <w:t xml:space="preserve"> (</w:t>
      </w:r>
      <w:r w:rsidR="00BF3F45">
        <w:t>5,303</w:t>
      </w:r>
      <w:bookmarkStart w:id="0" w:name="_GoBack"/>
      <w:bookmarkEnd w:id="0"/>
      <w:r w:rsidRPr="00AC06FE">
        <w:t>) руб./</w:t>
      </w:r>
      <w:proofErr w:type="spellStart"/>
      <w:r w:rsidRPr="00AC06FE">
        <w:t>тыс.кВтч</w:t>
      </w:r>
      <w:proofErr w:type="spell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33BDA"/>
    <w:rsid w:val="00092BE0"/>
    <w:rsid w:val="000B5C66"/>
    <w:rsid w:val="000C1655"/>
    <w:rsid w:val="001115E3"/>
    <w:rsid w:val="00164C67"/>
    <w:rsid w:val="001C502C"/>
    <w:rsid w:val="001F6236"/>
    <w:rsid w:val="002760E8"/>
    <w:rsid w:val="002A00F1"/>
    <w:rsid w:val="002F50A9"/>
    <w:rsid w:val="003200FF"/>
    <w:rsid w:val="00361C64"/>
    <w:rsid w:val="00426853"/>
    <w:rsid w:val="00491616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79C5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6830-674F-4391-BB4E-281F7D7A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2018-06-28T06:53:00Z</cp:lastPrinted>
  <dcterms:created xsi:type="dcterms:W3CDTF">2018-06-21T11:25:00Z</dcterms:created>
  <dcterms:modified xsi:type="dcterms:W3CDTF">2020-05-25T11:10:00Z</dcterms:modified>
</cp:coreProperties>
</file>